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8D4135" w:rsidRPr="00585D76" w:rsidP="00142D21" w14:paraId="0B7D4769" w14:textId="77777777">
      <w:pPr>
        <w:spacing w:before="0" w:after="0"/>
        <w:ind w:left="-142" w:right="-612"/>
        <w:rPr>
          <w:rFonts w:ascii="Poppins" w:hAnsi="Poppins" w:cs="Poppins"/>
          <w:b/>
          <w:bCs/>
          <w:sz w:val="14"/>
          <w:szCs w:val="14"/>
        </w:rPr>
      </w:pPr>
    </w:p>
    <w:p w:rsidR="008D4135" w:rsidRPr="009D0B43" w:rsidP="00142D21" w14:paraId="602939DF" w14:textId="77777777">
      <w:pPr>
        <w:spacing w:before="0" w:after="0"/>
        <w:ind w:left="-142" w:right="-612"/>
        <w:rPr>
          <w:rFonts w:ascii="Poppins" w:hAnsi="Poppins" w:cs="Poppins"/>
          <w:b/>
          <w:bCs/>
          <w:sz w:val="24"/>
          <w:szCs w:val="24"/>
        </w:rPr>
      </w:pPr>
      <w:r>
        <w:rPr>
          <w:rFonts w:ascii="Poppins" w:hAnsi="Poppins" w:cs="Poppins"/>
          <w:b/>
          <w:bCs/>
          <w:sz w:val="32"/>
          <w:szCs w:val="32"/>
        </w:rPr>
        <w:t xml:space="preserve">Backing </w:t>
      </w:r>
      <w:r w:rsidRPr="005574E5">
        <w:rPr>
          <w:rFonts w:ascii="Poppins" w:hAnsi="Poppins" w:cs="Poppins"/>
          <w:b/>
          <w:bCs/>
          <w:noProof/>
          <w:sz w:val="32"/>
          <w:szCs w:val="32"/>
        </w:rPr>
        <w:t>Blair</w:t>
      </w:r>
      <w:r>
        <w:rPr>
          <w:rFonts w:ascii="Poppins" w:hAnsi="Poppins" w:cs="Poppins"/>
          <w:b/>
          <w:bCs/>
          <w:sz w:val="32"/>
          <w:szCs w:val="32"/>
        </w:rPr>
        <w:t>’s Travel Locals: Fair Payments For All</w:t>
      </w:r>
      <w:r w:rsidRPr="0097405B">
        <w:rPr>
          <w:rFonts w:ascii="Poppins" w:hAnsi="Poppins" w:cs="Poppins"/>
          <w:b/>
          <w:bCs/>
          <w:sz w:val="32"/>
          <w:szCs w:val="32"/>
        </w:rPr>
        <w:t xml:space="preserve"> </w:t>
      </w:r>
    </w:p>
    <w:p w:rsidR="008D4135" w:rsidP="00991BC2" w14:paraId="289DF8BB"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1238250"/>
                <wp:effectExtent l="0" t="0" r="9525" b="0"/>
                <wp:wrapNone/>
                <wp:docPr id="1690839168" name="Rectangle 1690839168"/>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38250"/>
                        </a:xfrm>
                        <a:prstGeom prst="rect">
                          <a:avLst/>
                        </a:prstGeom>
                        <a:solidFill>
                          <a:schemeClr val="tx1"/>
                        </a:solidFill>
                        <a:ln w="6350">
                          <a:noFill/>
                          <a:prstDash val="solid"/>
                          <a:miter lim="800000"/>
                        </a:ln>
                        <a:effectLst/>
                      </wps:spPr>
                      <wps:txbx>
                        <w:txbxContent>
                          <w:p w:rsidR="008D4135"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11</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Blair</w:t>
                            </w:r>
                            <w:r w:rsidRPr="00B86E8E">
                              <w:rPr>
                                <w:b/>
                                <w:bCs/>
                                <w:color w:val="FFFFFF" w:themeColor="background1"/>
                                <w:sz w:val="22"/>
                              </w:rPr>
                              <w:t xml:space="preserve"> supporting </w:t>
                            </w:r>
                            <w:r w:rsidRPr="005574E5">
                              <w:rPr>
                                <w:b/>
                                <w:bCs/>
                                <w:noProof/>
                                <w:color w:val="FFFFFF" w:themeColor="background1"/>
                                <w:sz w:val="22"/>
                              </w:rPr>
                              <w:t>11</w:t>
                            </w:r>
                            <w:r w:rsidRPr="00B86E8E">
                              <w:rPr>
                                <w:b/>
                                <w:bCs/>
                                <w:color w:val="FFFFFF" w:themeColor="background1"/>
                                <w:sz w:val="22"/>
                              </w:rPr>
                              <w:t xml:space="preserve"> staff</w:t>
                            </w:r>
                            <w:r>
                              <w:rPr>
                                <w:b/>
                                <w:bCs/>
                                <w:color w:val="FFFFFF" w:themeColor="background1"/>
                                <w:sz w:val="22"/>
                              </w:rPr>
                              <w:t>.</w:t>
                            </w:r>
                          </w:p>
                          <w:p w:rsidR="008D4135" w:rsidRPr="007666D8"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0" rIns="91440" bIns="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690839168" o:spid="_x0000_s1025" type="#_x0000_t202" style="width:596.25pt;height:97.5pt;margin-top:10.35pt;margin-left:-1.5pt;mso-height-percent:0;mso-height-relative:margin;mso-position-horizontal-relative:page;mso-width-percent:0;mso-width-relative:margin;mso-wrap-distance-bottom:0;mso-wrap-distance-left:9pt;mso-wrap-distance-right:9pt;mso-wrap-distance-top:0;position:absolute;v-text-anchor:top;z-index:-251658240" fillcolor="black" stroked="f" strokeweight="0.5pt">
                <v:textbox inset=",0,,0">
                  <w:txbxContent>
                    <w:p w:rsidR="008D4135" w:rsidRPr="00AF54A1" w:rsidP="006426D3" w14:paraId="3C15C75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paraId="2A8C96A4"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11</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Blair</w:t>
                      </w:r>
                      <w:r w:rsidRPr="00B86E8E">
                        <w:rPr>
                          <w:b/>
                          <w:bCs/>
                          <w:color w:val="FFFFFF" w:themeColor="background1"/>
                          <w:sz w:val="22"/>
                        </w:rPr>
                        <w:t xml:space="preserve"> supporting </w:t>
                      </w:r>
                      <w:r w:rsidRPr="005574E5">
                        <w:rPr>
                          <w:b/>
                          <w:bCs/>
                          <w:noProof/>
                          <w:color w:val="FFFFFF" w:themeColor="background1"/>
                          <w:sz w:val="22"/>
                        </w:rPr>
                        <w:t>11</w:t>
                      </w:r>
                      <w:r w:rsidRPr="00B86E8E">
                        <w:rPr>
                          <w:b/>
                          <w:bCs/>
                          <w:color w:val="FFFFFF" w:themeColor="background1"/>
                          <w:sz w:val="22"/>
                        </w:rPr>
                        <w:t xml:space="preserve"> staff</w:t>
                      </w:r>
                      <w:r>
                        <w:rPr>
                          <w:b/>
                          <w:bCs/>
                          <w:color w:val="FFFFFF" w:themeColor="background1"/>
                          <w:sz w:val="22"/>
                        </w:rPr>
                        <w:t>.</w:t>
                      </w:r>
                    </w:p>
                    <w:p w:rsidR="008D4135" w:rsidRPr="007666D8" w:rsidP="00585D76" w14:paraId="6E7BE319"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paraId="21C427E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p>
    <w:p w:rsidR="008D4135" w:rsidP="00991BC2" w14:paraId="4F5BD3CE" w14:textId="77777777">
      <w:pPr>
        <w:ind w:left="-142" w:right="95"/>
        <w:rPr>
          <w:rFonts w:ascii="Poppins" w:hAnsi="Poppins" w:cs="Poppins"/>
          <w:b/>
          <w:bCs/>
          <w:sz w:val="32"/>
          <w:szCs w:val="32"/>
        </w:rPr>
      </w:pPr>
    </w:p>
    <w:p w:rsidR="008D4135" w:rsidRPr="0097405B" w:rsidP="00991BC2" w14:paraId="10D976AE" w14:textId="77777777">
      <w:pPr>
        <w:ind w:left="-142" w:right="95"/>
        <w:rPr>
          <w:rFonts w:ascii="Poppins" w:hAnsi="Poppins" w:cs="Poppins"/>
          <w:b/>
          <w:bCs/>
          <w:sz w:val="32"/>
          <w:szCs w:val="32"/>
        </w:rPr>
      </w:pPr>
    </w:p>
    <w:tbl>
      <w:tblPr>
        <w:tblStyle w:val="TableGrid"/>
        <w:tblpPr w:leftFromText="180" w:rightFromText="180" w:vertAnchor="text" w:horzAnchor="margin" w:tblpY="328"/>
        <w:tblW w:w="10692" w:type="dxa"/>
        <w:tblInd w:w="0" w:type="dxa"/>
        <w:tblLook w:val="04A0"/>
      </w:tblPr>
      <w:tblGrid>
        <w:gridCol w:w="10692"/>
      </w:tblGrid>
      <w:tr w14:paraId="57FE5BFE" w14:textId="77777777" w:rsidTr="00141D29">
        <w:tblPrEx>
          <w:tblW w:w="10692" w:type="dxa"/>
          <w:tblInd w:w="0" w:type="dxa"/>
          <w:tblLook w:val="04A0"/>
        </w:tblPrEx>
        <w:trPr>
          <w:trHeight w:val="2838"/>
        </w:trPr>
        <w:tc>
          <w:tcPr>
            <w:tcW w:w="10692" w:type="dxa"/>
            <w:tcBorders>
              <w:top w:val="nil"/>
              <w:left w:val="nil"/>
              <w:bottom w:val="nil"/>
              <w:right w:val="nil"/>
            </w:tcBorders>
            <w:shd w:val="clear" w:color="auto" w:fill="DDF3F4"/>
          </w:tcPr>
          <w:p w:rsidR="008D4135" w:rsidRPr="00764E72" w:rsidP="00141D29" w14:paraId="01AAB9D2" w14:textId="77777777">
            <w:pPr>
              <w:spacing w:before="160" w:after="160"/>
              <w:rPr>
                <w:rFonts w:eastAsia="Cambria" w:cs="Calibri"/>
                <w:b/>
                <w:bCs/>
                <w:sz w:val="27"/>
                <w:szCs w:val="27"/>
                <w:lang w:val="en-AU"/>
              </w:rPr>
            </w:pPr>
            <w:r w:rsidRPr="00764E72">
              <w:rPr>
                <w:rFonts w:eastAsia="Cambria" w:cs="Calibri"/>
                <w:b/>
                <w:bCs/>
                <w:sz w:val="27"/>
                <w:szCs w:val="27"/>
                <w:lang w:val="en-AU"/>
              </w:rPr>
              <w:t xml:space="preserve">The Challenge: </w:t>
            </w:r>
            <w:r>
              <w:rPr>
                <w:rFonts w:eastAsia="Cambria" w:cs="Calibri"/>
                <w:b/>
                <w:bCs/>
                <w:sz w:val="27"/>
                <w:szCs w:val="27"/>
                <w:lang w:val="en-AU"/>
              </w:rPr>
              <w:t>Unfair Payment Rules Will Threaten Travel Sector</w:t>
            </w:r>
          </w:p>
          <w:p w:rsidR="008D4135" w:rsidRPr="007D6D44" w:rsidP="00141D29" w14:paraId="0DA76125" w14:textId="77777777">
            <w:pPr>
              <w:spacing w:before="160" w:after="160"/>
              <w:rPr>
                <w:szCs w:val="20"/>
              </w:rPr>
            </w:pPr>
            <w:r w:rsidRPr="007D6D44">
              <w:rPr>
                <w:szCs w:val="20"/>
              </w:rPr>
              <w:t xml:space="preserve">Travel businesses are at risk from a payments system stacked against them. Removing their ability to recover the cost of accepting debit and credit card payments through surcharging will mean businesses will be asked to cover costs incurred through a consumer’s choice to use a particular payment method. </w:t>
            </w:r>
          </w:p>
          <w:p w:rsidR="008D4135" w:rsidRPr="007D6D44" w:rsidP="00141D29" w14:paraId="6946703A" w14:textId="77777777">
            <w:pPr>
              <w:spacing w:before="160" w:after="160"/>
              <w:rPr>
                <w:szCs w:val="20"/>
              </w:rPr>
            </w:pPr>
            <w:r w:rsidRPr="007D6D44">
              <w:rPr>
                <w:szCs w:val="20"/>
              </w:rPr>
              <w:t xml:space="preserve">It will </w:t>
            </w:r>
            <w:r w:rsidRPr="007D6D44">
              <w:rPr>
                <w:b/>
                <w:bCs/>
                <w:szCs w:val="20"/>
              </w:rPr>
              <w:t xml:space="preserve">drastically impact small businesses, </w:t>
            </w:r>
            <w:r w:rsidRPr="007D6D44">
              <w:rPr>
                <w:szCs w:val="20"/>
              </w:rPr>
              <w:t>which generally operate on low margins and who make up 92% of ATIA’s members.</w:t>
            </w:r>
          </w:p>
          <w:p w:rsidR="008D4135" w:rsidRPr="007D6D44" w:rsidP="00141D29" w14:paraId="4E4C6338" w14:textId="77777777">
            <w:pPr>
              <w:spacing w:before="160" w:after="160"/>
              <w:rPr>
                <w:szCs w:val="20"/>
              </w:rPr>
            </w:pPr>
            <w:r w:rsidRPr="007D6D44">
              <w:rPr>
                <w:szCs w:val="20"/>
              </w:rPr>
              <w:t xml:space="preserve">It will also </w:t>
            </w:r>
            <w:r w:rsidRPr="007D6D44">
              <w:rPr>
                <w:b/>
                <w:bCs/>
                <w:szCs w:val="20"/>
              </w:rPr>
              <w:t>disproportionately harm the travel industry</w:t>
            </w:r>
            <w:r w:rsidRPr="007D6D44">
              <w:rPr>
                <w:szCs w:val="20"/>
              </w:rPr>
              <w:t xml:space="preserve">, which is subject to unique chargeback exposure resulting in the requirement to pay </w:t>
            </w:r>
            <w:r w:rsidRPr="007D6D44">
              <w:rPr>
                <w:b/>
                <w:bCs/>
                <w:szCs w:val="20"/>
              </w:rPr>
              <w:t>bonds of greater than $1 million</w:t>
            </w:r>
            <w:r w:rsidRPr="007D6D44">
              <w:rPr>
                <w:szCs w:val="20"/>
              </w:rPr>
              <w:t xml:space="preserve"> to maintain their merchant terminal. </w:t>
            </w:r>
          </w:p>
          <w:p w:rsidR="008D4135" w:rsidRPr="00311FB8" w:rsidP="00141D29" w14:paraId="638748BD" w14:textId="77777777">
            <w:pPr>
              <w:spacing w:before="160" w:after="160"/>
              <w:rPr>
                <w:sz w:val="22"/>
              </w:rPr>
            </w:pPr>
            <w:r w:rsidRPr="007D6D44">
              <w:rPr>
                <w:szCs w:val="20"/>
              </w:rPr>
              <w:t xml:space="preserve">Without the ability to recover the true costs of card payments, these businesses face cuts, closures, or passing costs to customers – resulting in rising prices and reduced options. </w:t>
            </w:r>
          </w:p>
        </w:tc>
      </w:tr>
    </w:tbl>
    <w:p w:rsidR="008D4135" w:rsidRPr="00585D76" w:rsidP="00991BC2" w14:paraId="541BF73D" w14:textId="77777777">
      <w:pPr>
        <w:rPr>
          <w:sz w:val="2"/>
          <w:szCs w:val="4"/>
        </w:rPr>
      </w:pPr>
    </w:p>
    <w:p w:rsidR="008D4135" w:rsidP="00733470" w14:paraId="4FE8C271" w14:textId="77777777">
      <w:pPr>
        <w:keepNext/>
        <w:keepLines/>
        <w:spacing w:before="0" w:after="0"/>
        <w:outlineLvl w:val="1"/>
        <w:rPr>
          <w:rFonts w:ascii="Roboto Medium" w:eastAsia="MS Gothic" w:hAnsi="Roboto Medium" w:cs="Times New Roman"/>
          <w:color w:val="00AAAC"/>
          <w:sz w:val="28"/>
          <w:szCs w:val="28"/>
          <w:lang w:val="en-GB"/>
        </w:rPr>
      </w:pPr>
    </w:p>
    <w:p w:rsidR="008D4135" w:rsidRPr="00585D76" w:rsidP="00733470" w14:paraId="2F783661" w14:textId="77777777">
      <w:pPr>
        <w:keepNext/>
        <w:keepLines/>
        <w:spacing w:before="0" w:after="0"/>
        <w:outlineLvl w:val="1"/>
        <w:rPr>
          <w:rFonts w:ascii="Roboto Medium" w:eastAsia="MS Gothic" w:hAnsi="Roboto Medium" w:cs="Times New Roman"/>
          <w:color w:val="00AAAC"/>
          <w:sz w:val="14"/>
          <w:szCs w:val="14"/>
          <w:lang w:val="en-GB"/>
        </w:rPr>
        <w:sectPr w:rsidSect="008D4135">
          <w:headerReference w:type="default" r:id="rId10"/>
          <w:footerReference w:type="default" r:id="rId11"/>
          <w:pgSz w:w="11906" w:h="16838"/>
          <w:pgMar w:top="720" w:right="720" w:bottom="720" w:left="720" w:header="708" w:footer="113" w:gutter="0"/>
          <w:pgNumType w:start="1"/>
          <w:cols w:space="708"/>
          <w:docGrid w:linePitch="360"/>
        </w:sectPr>
      </w:pPr>
    </w:p>
    <w:p w:rsidR="008D4135" w:rsidRPr="007D6D44" w:rsidP="00733470" w14:paraId="31CAEC19" w14:textId="77777777">
      <w:pPr>
        <w:keepNext/>
        <w:keepLines/>
        <w:outlineLvl w:val="1"/>
        <w:rPr>
          <w:rFonts w:ascii="Roboto Medium" w:eastAsia="MS Gothic" w:hAnsi="Roboto Medium" w:cs="Times New Roman"/>
          <w:color w:val="00AAAC"/>
          <w:sz w:val="24"/>
          <w:szCs w:val="24"/>
          <w:lang w:val="en-GB"/>
        </w:rPr>
      </w:pPr>
      <w:r w:rsidRPr="007D6D44">
        <w:rPr>
          <w:rFonts w:ascii="Roboto Medium" w:eastAsia="MS Gothic" w:hAnsi="Roboto Medium" w:cs="Times New Roman"/>
          <w:color w:val="00AAAC"/>
          <w:sz w:val="24"/>
          <w:szCs w:val="24"/>
          <w:lang w:val="en-GB"/>
        </w:rPr>
        <w:t>The Opportunity:  A Fair Deal for Travel Payments</w:t>
      </w:r>
    </w:p>
    <w:p w:rsidR="008D4135" w:rsidRPr="007D6D44" w:rsidP="00733470" w14:paraId="50D05226" w14:textId="77777777">
      <w:pPr>
        <w:spacing w:before="160" w:after="160"/>
        <w:rPr>
          <w:szCs w:val="20"/>
        </w:rPr>
      </w:pPr>
      <w:r w:rsidRPr="007D6D44">
        <w:rPr>
          <w:szCs w:val="20"/>
        </w:rPr>
        <w:t xml:space="preserve">To ensure a fair payments system, there is a critical need for businesses to retain the ability to surcharge to </w:t>
      </w:r>
      <w:r w:rsidRPr="007D6D44">
        <w:rPr>
          <w:b/>
          <w:bCs/>
          <w:szCs w:val="20"/>
        </w:rPr>
        <w:t>recover the true costs of facilitating electronic transactions</w:t>
      </w:r>
      <w:r w:rsidRPr="007D6D44">
        <w:rPr>
          <w:szCs w:val="20"/>
        </w:rPr>
        <w:t>.</w:t>
      </w:r>
    </w:p>
    <w:p w:rsidR="008D4135" w:rsidRPr="007D6D44" w:rsidP="00733470" w14:paraId="62EC5831" w14:textId="77777777">
      <w:pPr>
        <w:spacing w:before="160" w:after="160"/>
        <w:rPr>
          <w:szCs w:val="20"/>
        </w:rPr>
      </w:pPr>
      <w:r w:rsidRPr="007D6D44">
        <w:rPr>
          <w:szCs w:val="20"/>
        </w:rPr>
        <w:t>Regulatory frameworks should account for the travel industry’s unique chargeback exposure and forward delivery risks.</w:t>
      </w:r>
    </w:p>
    <w:p w:rsidR="008D4135" w:rsidRPr="007D6D44" w:rsidP="00733470" w14:paraId="20002838" w14:textId="77777777">
      <w:pPr>
        <w:spacing w:before="160" w:after="160"/>
        <w:rPr>
          <w:szCs w:val="20"/>
        </w:rPr>
      </w:pPr>
      <w:r w:rsidRPr="007D6D44">
        <w:rPr>
          <w:szCs w:val="20"/>
        </w:rPr>
        <w:t xml:space="preserve">Avenues to ensure Least-Cost-Routing can be fully utilised and enhancement of the ACCC’s enforcement powers should be first explored to protect against unreasonable surcharges, without penalising small business.   </w:t>
      </w:r>
    </w:p>
    <w:p w:rsidR="008D4135" w:rsidRPr="009956E9" w:rsidP="00585D76" w14:paraId="4113ACB5" w14:textId="77777777">
      <w:pPr>
        <w:keepNext/>
        <w:keepLines/>
        <w:spacing w:after="0"/>
        <w:outlineLvl w:val="1"/>
        <w:rPr>
          <w:rFonts w:ascii="Roboto Medium" w:eastAsia="MS Gothic" w:hAnsi="Roboto Medium" w:cs="Times New Roman"/>
          <w:color w:val="00AAAC"/>
          <w:sz w:val="27"/>
          <w:szCs w:val="27"/>
          <w:lang w:val="en-GB"/>
        </w:rPr>
      </w:pPr>
      <w:r w:rsidRPr="007D6D44">
        <w:rPr>
          <w:rFonts w:ascii="Roboto Medium" w:eastAsia="MS Gothic" w:hAnsi="Roboto Medium" w:cs="Times New Roman"/>
          <w:color w:val="00AAAC"/>
          <w:sz w:val="24"/>
          <w:szCs w:val="24"/>
          <w:lang w:val="en-GB"/>
        </w:rPr>
        <w:t>Here’s What Your Support Delivers</w:t>
      </w:r>
    </w:p>
    <w:p w:rsidR="008D4135" w:rsidRPr="007D6D44" w:rsidP="00585D76" w14:paraId="2AD576B8" w14:textId="77777777">
      <w:pPr>
        <w:spacing w:before="0" w:after="0"/>
        <w:rPr>
          <w:b/>
          <w:bCs/>
          <w:szCs w:val="20"/>
          <w:lang w:val="en-AU"/>
        </w:rPr>
      </w:pPr>
      <w:r w:rsidRPr="007D6D44">
        <w:rPr>
          <w:b/>
          <w:bCs/>
          <w:szCs w:val="20"/>
          <w:lang w:val="en-AU"/>
        </w:rPr>
        <w:t xml:space="preserve">Fairness for Small Business </w:t>
      </w:r>
    </w:p>
    <w:p w:rsidR="008D4135" w:rsidRPr="007D6D44" w:rsidP="00585D76" w14:paraId="5A3837F3" w14:textId="77777777">
      <w:pPr>
        <w:pStyle w:val="ListParagraph"/>
        <w:numPr>
          <w:ilvl w:val="0"/>
          <w:numId w:val="15"/>
        </w:numPr>
        <w:spacing w:before="0" w:after="160"/>
        <w:ind w:left="357" w:hanging="357"/>
        <w:rPr>
          <w:szCs w:val="20"/>
          <w:lang w:val="en-AU"/>
        </w:rPr>
      </w:pPr>
      <w:r w:rsidRPr="007D6D44">
        <w:rPr>
          <w:szCs w:val="20"/>
          <w:lang w:val="en-AU"/>
        </w:rPr>
        <w:t xml:space="preserve">Enabling businesses to continue to recover the true cost of facilitating electronic transactions directly supports the 98% of businesses that are small and family-run. </w:t>
      </w:r>
    </w:p>
    <w:p w:rsidR="008D4135" w:rsidRPr="007D6D44" w:rsidP="00585D76" w14:paraId="39C74D94" w14:textId="77777777">
      <w:pPr>
        <w:spacing w:before="160" w:after="0"/>
        <w:rPr>
          <w:b/>
          <w:bCs/>
          <w:szCs w:val="20"/>
          <w:lang w:val="en-AU"/>
        </w:rPr>
      </w:pPr>
      <w:r w:rsidRPr="007D6D44">
        <w:rPr>
          <w:b/>
          <w:bCs/>
          <w:szCs w:val="20"/>
          <w:lang w:val="en-AU"/>
        </w:rPr>
        <w:t>Support for Travel Businesses &amp; Customers</w:t>
      </w:r>
    </w:p>
    <w:p w:rsidR="008D4135" w:rsidRPr="007D6D44" w:rsidP="00585D76" w14:paraId="2DF7FA9D" w14:textId="77777777">
      <w:pPr>
        <w:pStyle w:val="ListParagraph"/>
        <w:numPr>
          <w:ilvl w:val="0"/>
          <w:numId w:val="15"/>
        </w:numPr>
        <w:spacing w:before="0" w:after="120"/>
        <w:ind w:left="357" w:hanging="357"/>
        <w:contextualSpacing w:val="0"/>
        <w:rPr>
          <w:b/>
          <w:bCs/>
          <w:szCs w:val="20"/>
          <w:lang w:val="en-AU"/>
        </w:rPr>
      </w:pPr>
      <w:r w:rsidRPr="007D6D44">
        <w:rPr>
          <w:szCs w:val="20"/>
          <w:lang w:val="en-AU"/>
        </w:rPr>
        <w:t xml:space="preserve">An approach that recognises the travel industry’s unique circumstances will support the </w:t>
      </w:r>
      <w:r w:rsidRPr="005574E5">
        <w:rPr>
          <w:noProof/>
          <w:szCs w:val="20"/>
          <w:lang w:val="en-AU"/>
        </w:rPr>
        <w:t>11</w:t>
      </w:r>
      <w:r>
        <w:rPr>
          <w:szCs w:val="20"/>
          <w:lang w:val="en-AU"/>
        </w:rPr>
        <w:t xml:space="preserve"> </w:t>
      </w:r>
      <w:r w:rsidRPr="007D6D44">
        <w:rPr>
          <w:szCs w:val="20"/>
          <w:lang w:val="en-AU"/>
        </w:rPr>
        <w:t>travel businesses i</w:t>
      </w:r>
      <w:r w:rsidRPr="00141D29">
        <w:rPr>
          <w:szCs w:val="20"/>
          <w:lang w:val="en-AU"/>
        </w:rPr>
        <w:t xml:space="preserve">n </w:t>
      </w:r>
      <w:r w:rsidRPr="005574E5">
        <w:rPr>
          <w:noProof/>
          <w:szCs w:val="20"/>
          <w:lang w:val="en-AU"/>
        </w:rPr>
        <w:t>Blair</w:t>
      </w:r>
      <w:r w:rsidRPr="00141D29">
        <w:rPr>
          <w:szCs w:val="20"/>
          <w:lang w:val="en-AU"/>
        </w:rPr>
        <w:t xml:space="preserve"> to</w:t>
      </w:r>
      <w:r w:rsidRPr="007D6D44">
        <w:rPr>
          <w:szCs w:val="20"/>
          <w:lang w:val="en-AU"/>
        </w:rPr>
        <w:t xml:space="preserve"> remain open. </w:t>
      </w:r>
    </w:p>
    <w:p w:rsidR="008D4135" w:rsidRPr="00141D29" w:rsidP="00733470" w14:paraId="1D561654" w14:textId="77777777">
      <w:pPr>
        <w:pStyle w:val="ListParagraph"/>
        <w:keepNext/>
        <w:keepLines/>
        <w:numPr>
          <w:ilvl w:val="0"/>
          <w:numId w:val="15"/>
        </w:numPr>
        <w:spacing w:before="0" w:after="120"/>
        <w:ind w:left="357" w:right="578" w:hanging="357"/>
        <w:contextualSpacing w:val="0"/>
        <w:outlineLvl w:val="1"/>
      </w:pPr>
      <w:r w:rsidRPr="00585D76">
        <w:rPr>
          <w:szCs w:val="20"/>
          <w:lang w:val="en-AU"/>
        </w:rPr>
        <w:t>It will also reduce the risk of the merchant terminal being removed from businesses – impacting their livelihood and</w:t>
      </w:r>
      <w:r>
        <w:rPr>
          <w:szCs w:val="20"/>
          <w:lang w:val="en-AU"/>
        </w:rPr>
        <w:t xml:space="preserve"> their</w:t>
      </w:r>
      <w:r w:rsidRPr="00585D76">
        <w:rPr>
          <w:szCs w:val="20"/>
          <w:lang w:val="en-AU"/>
        </w:rPr>
        <w:t xml:space="preserve"> customers who utilise travel agents or tour operators in managing their trave</w:t>
      </w:r>
      <w:r>
        <w:rPr>
          <w:szCs w:val="20"/>
          <w:lang w:val="en-AU"/>
        </w:rPr>
        <w:t>l.</w:t>
      </w:r>
    </w:p>
    <w:p w:rsidR="008D4135" w:rsidP="00141D29" w14:paraId="0AA35E53" w14:textId="77777777">
      <w:pPr>
        <w:keepNext/>
        <w:keepLines/>
        <w:spacing w:before="0"/>
        <w:ind w:right="578"/>
        <w:outlineLvl w:val="1"/>
        <w:sectPr w:rsidSect="008D4135">
          <w:type w:val="continuous"/>
          <w:pgSz w:w="11906" w:h="16838"/>
          <w:pgMar w:top="720" w:right="720" w:bottom="720" w:left="720" w:header="708" w:footer="313" w:gutter="0"/>
          <w:cols w:num="2" w:space="708"/>
          <w:docGrid w:linePitch="360"/>
        </w:sectPr>
      </w:pPr>
    </w:p>
    <w:p w:rsidR="008D4135" w:rsidP="005E1269" w14:paraId="38664668" w14:textId="77777777">
      <w:pPr>
        <w:spacing w:before="0" w:after="160" w:line="259" w:lineRule="auto"/>
      </w:pPr>
      <w:r w:rsidRPr="00F10678">
        <w:rPr>
          <w:rFonts w:eastAsia="Cambria" w:cs="Calibri"/>
          <w:noProof/>
          <w:lang w:val="en-AU"/>
        </w:rPr>
        <mc:AlternateContent>
          <mc:Choice Requires="wps">
            <w:drawing>
              <wp:anchor distT="0" distB="0" distL="114300" distR="114300" simplePos="0" relativeHeight="251660288" behindDoc="1" locked="0" layoutInCell="1" allowOverlap="1">
                <wp:simplePos x="0" y="0"/>
                <wp:positionH relativeFrom="page">
                  <wp:posOffset>16510</wp:posOffset>
                </wp:positionH>
                <wp:positionV relativeFrom="paragraph">
                  <wp:posOffset>66675</wp:posOffset>
                </wp:positionV>
                <wp:extent cx="7534275" cy="2247900"/>
                <wp:effectExtent l="0" t="0" r="9525" b="0"/>
                <wp:wrapSquare wrapText="bothSides"/>
                <wp:docPr id="1213705069" name="Rectangle 1213705069"/>
                <wp:cNvGraphicFramePr/>
                <a:graphic xmlns:a="http://schemas.openxmlformats.org/drawingml/2006/main">
                  <a:graphicData uri="http://schemas.microsoft.com/office/word/2010/wordprocessingShape">
                    <wps:wsp xmlns:wps="http://schemas.microsoft.com/office/word/2010/wordprocessingShape">
                      <wps:cNvSpPr/>
                      <wps:spPr>
                        <a:xfrm>
                          <a:off x="0" y="0"/>
                          <a:ext cx="7534275" cy="2247900"/>
                        </a:xfrm>
                        <a:prstGeom prst="rect">
                          <a:avLst/>
                        </a:prstGeom>
                        <a:solidFill>
                          <a:srgbClr val="F25924"/>
                        </a:solidFill>
                        <a:ln w="9525">
                          <a:noFill/>
                          <a:prstDash val="solid"/>
                        </a:ln>
                        <a:effectLst/>
                      </wps:spPr>
                      <wps:txbx>
                        <w:txbxContent>
                          <w:p w:rsidR="008D4135" w:rsidRPr="001B0196" w:rsidP="00585D76"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wps:txbx>
                      <wps:bodyPr rot="0" spcFirstLastPara="0" vertOverflow="overflow" horzOverflow="overflow" vert="horz" wrap="square" lIns="180000" tIns="0" rIns="180000" bIns="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213705069" o:spid="_x0000_s1026" style="width:593.25pt;height:177pt;margin-top:5.25pt;margin-left:1.3pt;mso-height-percent:0;mso-height-relative:margin;mso-position-horizontal-relative:page;mso-width-percent:0;mso-width-relative:margin;mso-wrap-distance-bottom:0;mso-wrap-distance-left:9pt;mso-wrap-distance-right:9pt;mso-wrap-distance-top:0;mso-wrap-style:square;position:absolute;v-text-anchor:middle;visibility:visible;z-index:-251655168" fillcolor="#f25924" stroked="f">
                <v:textbox inset="14.17pt,0,14.17pt,0">
                  <w:txbxContent>
                    <w:p w:rsidR="008D4135" w:rsidRPr="001B0196" w:rsidP="00585D76" w14:paraId="6DA1860D"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paraId="68A09622"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paraId="73AC8877"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paraId="3CFC2F92"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paraId="31B9D513"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v:textbox>
                <w10:wrap type="square"/>
              </v:rect>
            </w:pict>
          </mc:Fallback>
        </mc:AlternateContent>
      </w:r>
    </w:p>
    <w:sectPr w:rsidSect="008D4135">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E409A9" w:rsidP="00C11C1A" w14:paraId="391F53A0" w14:textId="77777777">
      <w:pPr>
        <w:spacing w:before="0" w:after="0"/>
      </w:pPr>
      <w:r>
        <w:separator/>
      </w:r>
    </w:p>
  </w:endnote>
  <w:endnote w:type="continuationSeparator" w:id="1">
    <w:p w:rsidR="00E409A9" w:rsidP="00C11C1A" w14:paraId="574A95D0" w14:textId="77777777">
      <w:pPr>
        <w:spacing w:before="0" w:after="0"/>
      </w:pPr>
      <w:r>
        <w:continuationSeparator/>
      </w:r>
    </w:p>
  </w:endnote>
  <w:endnote w:type="continuationNotice" w:id="2">
    <w:p w:rsidR="00E409A9" w14:paraId="4995CD01"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rsidRPr="00585D76" w:rsidP="00585D76" w14:paraId="7322279E"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E409A9" w:rsidP="00C11C1A" w14:paraId="3A3692ED" w14:textId="77777777">
      <w:pPr>
        <w:spacing w:before="0" w:after="0"/>
      </w:pPr>
      <w:r>
        <w:separator/>
      </w:r>
    </w:p>
  </w:footnote>
  <w:footnote w:type="continuationSeparator" w:id="1">
    <w:p w:rsidR="00E409A9" w:rsidP="00C11C1A" w14:paraId="17D4011C" w14:textId="77777777">
      <w:pPr>
        <w:spacing w:before="0" w:after="0"/>
      </w:pPr>
      <w:r>
        <w:continuationSeparator/>
      </w:r>
    </w:p>
  </w:footnote>
  <w:footnote w:type="continuationNotice" w:id="2">
    <w:p w:rsidR="00E409A9" w14:paraId="6DD730B0"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14:paraId="14E6D2FB"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518489232" name="Picture 151848923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8489232"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6A954A5"/>
    <w:multiLevelType w:val="hybridMultilevel"/>
    <w:tmpl w:val="D82250A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3"/>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1"/>
  </w:num>
  <w:num w:numId="14" w16cid:durableId="604535017">
    <w:abstractNumId w:val="6"/>
  </w:num>
  <w:num w:numId="15" w16cid:durableId="1805734674">
    <w:abstractNumId w:val="4"/>
  </w:num>
  <w:num w:numId="16" w16cid:durableId="1259829434">
    <w:abstractNumId w:val="12"/>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16B0C"/>
    <w:rsid w:val="000201E2"/>
    <w:rsid w:val="00035D56"/>
    <w:rsid w:val="0003629F"/>
    <w:rsid w:val="00042B22"/>
    <w:rsid w:val="00047888"/>
    <w:rsid w:val="000741FF"/>
    <w:rsid w:val="000768BA"/>
    <w:rsid w:val="000A0DF4"/>
    <w:rsid w:val="000A1940"/>
    <w:rsid w:val="000A516C"/>
    <w:rsid w:val="000A75A1"/>
    <w:rsid w:val="000B3243"/>
    <w:rsid w:val="000D3AA1"/>
    <w:rsid w:val="000F5ED1"/>
    <w:rsid w:val="00100BC0"/>
    <w:rsid w:val="001115A5"/>
    <w:rsid w:val="0011426F"/>
    <w:rsid w:val="00121B68"/>
    <w:rsid w:val="00133478"/>
    <w:rsid w:val="00141D29"/>
    <w:rsid w:val="00142D21"/>
    <w:rsid w:val="0015443E"/>
    <w:rsid w:val="001662BF"/>
    <w:rsid w:val="001670CC"/>
    <w:rsid w:val="0017164B"/>
    <w:rsid w:val="00176EC5"/>
    <w:rsid w:val="001B0196"/>
    <w:rsid w:val="001B1822"/>
    <w:rsid w:val="001B2DA0"/>
    <w:rsid w:val="001C18FF"/>
    <w:rsid w:val="001C39C0"/>
    <w:rsid w:val="001D004A"/>
    <w:rsid w:val="001D3C66"/>
    <w:rsid w:val="002030B0"/>
    <w:rsid w:val="00204A66"/>
    <w:rsid w:val="00206B8F"/>
    <w:rsid w:val="00210350"/>
    <w:rsid w:val="00227877"/>
    <w:rsid w:val="00232E46"/>
    <w:rsid w:val="00242A1E"/>
    <w:rsid w:val="00245F62"/>
    <w:rsid w:val="00275652"/>
    <w:rsid w:val="002807EF"/>
    <w:rsid w:val="00283000"/>
    <w:rsid w:val="0028584D"/>
    <w:rsid w:val="00294D29"/>
    <w:rsid w:val="002A291A"/>
    <w:rsid w:val="002B0AAC"/>
    <w:rsid w:val="002B327D"/>
    <w:rsid w:val="002B5766"/>
    <w:rsid w:val="002B5D67"/>
    <w:rsid w:val="002B6D2D"/>
    <w:rsid w:val="002C2DED"/>
    <w:rsid w:val="002D5220"/>
    <w:rsid w:val="002D54A5"/>
    <w:rsid w:val="002D6ED2"/>
    <w:rsid w:val="002E2C70"/>
    <w:rsid w:val="002E49B0"/>
    <w:rsid w:val="002E6230"/>
    <w:rsid w:val="00302533"/>
    <w:rsid w:val="00304EA3"/>
    <w:rsid w:val="0030553A"/>
    <w:rsid w:val="003070FC"/>
    <w:rsid w:val="00310DDB"/>
    <w:rsid w:val="00311FB8"/>
    <w:rsid w:val="00322EC8"/>
    <w:rsid w:val="00332F60"/>
    <w:rsid w:val="0034621A"/>
    <w:rsid w:val="003607D2"/>
    <w:rsid w:val="00373AC7"/>
    <w:rsid w:val="003800D5"/>
    <w:rsid w:val="00394BD8"/>
    <w:rsid w:val="003D1607"/>
    <w:rsid w:val="003D21F6"/>
    <w:rsid w:val="003E11C0"/>
    <w:rsid w:val="003E3CF0"/>
    <w:rsid w:val="003F73E3"/>
    <w:rsid w:val="00407926"/>
    <w:rsid w:val="0041225A"/>
    <w:rsid w:val="004267F5"/>
    <w:rsid w:val="00435167"/>
    <w:rsid w:val="0044176A"/>
    <w:rsid w:val="004652FA"/>
    <w:rsid w:val="00487157"/>
    <w:rsid w:val="00487825"/>
    <w:rsid w:val="0049291D"/>
    <w:rsid w:val="004A0963"/>
    <w:rsid w:val="004A2C4F"/>
    <w:rsid w:val="004A46B1"/>
    <w:rsid w:val="004C16F2"/>
    <w:rsid w:val="004C1B7C"/>
    <w:rsid w:val="004E130F"/>
    <w:rsid w:val="004E4CBB"/>
    <w:rsid w:val="004E6DFC"/>
    <w:rsid w:val="00506AFA"/>
    <w:rsid w:val="0051253B"/>
    <w:rsid w:val="005312B0"/>
    <w:rsid w:val="00550C76"/>
    <w:rsid w:val="005514AF"/>
    <w:rsid w:val="00553861"/>
    <w:rsid w:val="005574E5"/>
    <w:rsid w:val="00575640"/>
    <w:rsid w:val="00577814"/>
    <w:rsid w:val="00580902"/>
    <w:rsid w:val="00585D76"/>
    <w:rsid w:val="00591D58"/>
    <w:rsid w:val="005A03BF"/>
    <w:rsid w:val="005A28DC"/>
    <w:rsid w:val="005A792A"/>
    <w:rsid w:val="005B09D7"/>
    <w:rsid w:val="005C3014"/>
    <w:rsid w:val="005C7A3A"/>
    <w:rsid w:val="005D0E99"/>
    <w:rsid w:val="005D485F"/>
    <w:rsid w:val="005D56E4"/>
    <w:rsid w:val="005E1269"/>
    <w:rsid w:val="006018B6"/>
    <w:rsid w:val="00602514"/>
    <w:rsid w:val="0061436F"/>
    <w:rsid w:val="006358C9"/>
    <w:rsid w:val="0064267B"/>
    <w:rsid w:val="006426D3"/>
    <w:rsid w:val="00670005"/>
    <w:rsid w:val="00683650"/>
    <w:rsid w:val="00683E1D"/>
    <w:rsid w:val="006944B9"/>
    <w:rsid w:val="00697506"/>
    <w:rsid w:val="006A6AEF"/>
    <w:rsid w:val="006B31FE"/>
    <w:rsid w:val="006B4A5A"/>
    <w:rsid w:val="006D0B96"/>
    <w:rsid w:val="006D35B8"/>
    <w:rsid w:val="006D4BD8"/>
    <w:rsid w:val="006D5F25"/>
    <w:rsid w:val="006E7396"/>
    <w:rsid w:val="006F3A3C"/>
    <w:rsid w:val="006F5630"/>
    <w:rsid w:val="006F7CEC"/>
    <w:rsid w:val="007004F1"/>
    <w:rsid w:val="00710513"/>
    <w:rsid w:val="00710B31"/>
    <w:rsid w:val="007176E2"/>
    <w:rsid w:val="007203F3"/>
    <w:rsid w:val="0072283C"/>
    <w:rsid w:val="00723B72"/>
    <w:rsid w:val="0072713C"/>
    <w:rsid w:val="00727BC1"/>
    <w:rsid w:val="00733470"/>
    <w:rsid w:val="00736DBF"/>
    <w:rsid w:val="00753294"/>
    <w:rsid w:val="007575DF"/>
    <w:rsid w:val="007638DD"/>
    <w:rsid w:val="00764E72"/>
    <w:rsid w:val="007666D8"/>
    <w:rsid w:val="0079172A"/>
    <w:rsid w:val="007B1150"/>
    <w:rsid w:val="007B2598"/>
    <w:rsid w:val="007C37BE"/>
    <w:rsid w:val="007C7E81"/>
    <w:rsid w:val="007D6A02"/>
    <w:rsid w:val="007D6D44"/>
    <w:rsid w:val="007D7260"/>
    <w:rsid w:val="0087594E"/>
    <w:rsid w:val="00875BBA"/>
    <w:rsid w:val="00875C12"/>
    <w:rsid w:val="00877302"/>
    <w:rsid w:val="00881659"/>
    <w:rsid w:val="0088550C"/>
    <w:rsid w:val="00885CA8"/>
    <w:rsid w:val="008873FC"/>
    <w:rsid w:val="008960E7"/>
    <w:rsid w:val="008A1491"/>
    <w:rsid w:val="008A7435"/>
    <w:rsid w:val="008B71A4"/>
    <w:rsid w:val="008D21A0"/>
    <w:rsid w:val="008D4135"/>
    <w:rsid w:val="008D7491"/>
    <w:rsid w:val="008E309C"/>
    <w:rsid w:val="008E5776"/>
    <w:rsid w:val="008F70F4"/>
    <w:rsid w:val="00900296"/>
    <w:rsid w:val="009016B4"/>
    <w:rsid w:val="00915475"/>
    <w:rsid w:val="00917663"/>
    <w:rsid w:val="0092198A"/>
    <w:rsid w:val="00930A38"/>
    <w:rsid w:val="009344F1"/>
    <w:rsid w:val="0094439E"/>
    <w:rsid w:val="0094498B"/>
    <w:rsid w:val="00945457"/>
    <w:rsid w:val="0095046F"/>
    <w:rsid w:val="00951BBF"/>
    <w:rsid w:val="0096069B"/>
    <w:rsid w:val="00970959"/>
    <w:rsid w:val="0097405B"/>
    <w:rsid w:val="00974770"/>
    <w:rsid w:val="009773CD"/>
    <w:rsid w:val="00991BC2"/>
    <w:rsid w:val="009954F0"/>
    <w:rsid w:val="009956E9"/>
    <w:rsid w:val="00997ED7"/>
    <w:rsid w:val="009A7C51"/>
    <w:rsid w:val="009D0B43"/>
    <w:rsid w:val="009D288C"/>
    <w:rsid w:val="009E4CD5"/>
    <w:rsid w:val="009F0A9D"/>
    <w:rsid w:val="009F758B"/>
    <w:rsid w:val="00A03060"/>
    <w:rsid w:val="00A03B7B"/>
    <w:rsid w:val="00A06780"/>
    <w:rsid w:val="00A1273D"/>
    <w:rsid w:val="00A21ECC"/>
    <w:rsid w:val="00A25415"/>
    <w:rsid w:val="00A327A4"/>
    <w:rsid w:val="00A34E40"/>
    <w:rsid w:val="00A46F2D"/>
    <w:rsid w:val="00A51A7A"/>
    <w:rsid w:val="00A54F42"/>
    <w:rsid w:val="00A57252"/>
    <w:rsid w:val="00A62C0F"/>
    <w:rsid w:val="00A64EFD"/>
    <w:rsid w:val="00A72E7F"/>
    <w:rsid w:val="00A76935"/>
    <w:rsid w:val="00A81870"/>
    <w:rsid w:val="00A8553A"/>
    <w:rsid w:val="00A8640D"/>
    <w:rsid w:val="00A909B5"/>
    <w:rsid w:val="00AB5479"/>
    <w:rsid w:val="00AB5AA1"/>
    <w:rsid w:val="00AC6299"/>
    <w:rsid w:val="00AD4CD3"/>
    <w:rsid w:val="00AE325E"/>
    <w:rsid w:val="00AE5564"/>
    <w:rsid w:val="00AF54A1"/>
    <w:rsid w:val="00B02CB6"/>
    <w:rsid w:val="00B03F26"/>
    <w:rsid w:val="00B209DB"/>
    <w:rsid w:val="00B31FCC"/>
    <w:rsid w:val="00B322CA"/>
    <w:rsid w:val="00B43AA7"/>
    <w:rsid w:val="00B73955"/>
    <w:rsid w:val="00B74435"/>
    <w:rsid w:val="00B81794"/>
    <w:rsid w:val="00B86E8E"/>
    <w:rsid w:val="00BA027D"/>
    <w:rsid w:val="00BB3CBF"/>
    <w:rsid w:val="00BB4400"/>
    <w:rsid w:val="00BC1C61"/>
    <w:rsid w:val="00BC38C7"/>
    <w:rsid w:val="00BC42D3"/>
    <w:rsid w:val="00BF7254"/>
    <w:rsid w:val="00C023C5"/>
    <w:rsid w:val="00C11C1A"/>
    <w:rsid w:val="00C25268"/>
    <w:rsid w:val="00C36A38"/>
    <w:rsid w:val="00C408C4"/>
    <w:rsid w:val="00C4793B"/>
    <w:rsid w:val="00C52E7E"/>
    <w:rsid w:val="00C576B4"/>
    <w:rsid w:val="00C6195A"/>
    <w:rsid w:val="00C657F5"/>
    <w:rsid w:val="00C73582"/>
    <w:rsid w:val="00C8117B"/>
    <w:rsid w:val="00C90E1C"/>
    <w:rsid w:val="00C96014"/>
    <w:rsid w:val="00CB712D"/>
    <w:rsid w:val="00CC1077"/>
    <w:rsid w:val="00CC52D4"/>
    <w:rsid w:val="00CD795F"/>
    <w:rsid w:val="00CD7B73"/>
    <w:rsid w:val="00CE4467"/>
    <w:rsid w:val="00CE7934"/>
    <w:rsid w:val="00D00AE2"/>
    <w:rsid w:val="00D02694"/>
    <w:rsid w:val="00D04A82"/>
    <w:rsid w:val="00D1123D"/>
    <w:rsid w:val="00D218EA"/>
    <w:rsid w:val="00D2216A"/>
    <w:rsid w:val="00D42913"/>
    <w:rsid w:val="00D47AF8"/>
    <w:rsid w:val="00D740E9"/>
    <w:rsid w:val="00D75F6D"/>
    <w:rsid w:val="00D81B7F"/>
    <w:rsid w:val="00DA2DE3"/>
    <w:rsid w:val="00DB0C6F"/>
    <w:rsid w:val="00DB1C30"/>
    <w:rsid w:val="00DB23E2"/>
    <w:rsid w:val="00DB2F77"/>
    <w:rsid w:val="00DC2E4F"/>
    <w:rsid w:val="00DC2ED1"/>
    <w:rsid w:val="00DC3418"/>
    <w:rsid w:val="00DD4360"/>
    <w:rsid w:val="00DD789C"/>
    <w:rsid w:val="00DE7232"/>
    <w:rsid w:val="00DF4CB9"/>
    <w:rsid w:val="00E0084D"/>
    <w:rsid w:val="00E10989"/>
    <w:rsid w:val="00E11605"/>
    <w:rsid w:val="00E2513C"/>
    <w:rsid w:val="00E40041"/>
    <w:rsid w:val="00E409A9"/>
    <w:rsid w:val="00E42481"/>
    <w:rsid w:val="00E427B0"/>
    <w:rsid w:val="00E4543C"/>
    <w:rsid w:val="00E631B7"/>
    <w:rsid w:val="00E6705A"/>
    <w:rsid w:val="00E74E0D"/>
    <w:rsid w:val="00EA10DE"/>
    <w:rsid w:val="00EA2841"/>
    <w:rsid w:val="00EA3C3A"/>
    <w:rsid w:val="00EB3334"/>
    <w:rsid w:val="00EB5ADA"/>
    <w:rsid w:val="00EE5BAC"/>
    <w:rsid w:val="00EF0B7D"/>
    <w:rsid w:val="00EF161C"/>
    <w:rsid w:val="00EF68A6"/>
    <w:rsid w:val="00F03EEF"/>
    <w:rsid w:val="00F10678"/>
    <w:rsid w:val="00F10700"/>
    <w:rsid w:val="00F2095F"/>
    <w:rsid w:val="00F35CAB"/>
    <w:rsid w:val="00F71F2E"/>
    <w:rsid w:val="00F722CF"/>
    <w:rsid w:val="00F74AEC"/>
    <w:rsid w:val="00F772E2"/>
    <w:rsid w:val="00F84F34"/>
    <w:rsid w:val="00F90138"/>
    <w:rsid w:val="00F90B8B"/>
    <w:rsid w:val="00FA1A6C"/>
    <w:rsid w:val="00FA421F"/>
    <w:rsid w:val="00FB2E22"/>
    <w:rsid w:val="00FC136C"/>
    <w:rsid w:val="00FC5C66"/>
    <w:rsid w:val="00FC63C3"/>
    <w:rsid w:val="00FF5D1F"/>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74FA8D5"/>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0A1940"/>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0C16A64A-77AD-4B8F-A83A-C6A63E023E7D}"/>
</file>

<file path=docProps/app.xml><?xml version="1.0" encoding="utf-8"?>
<Properties xmlns="http://schemas.openxmlformats.org/officeDocument/2006/extended-properties" xmlns:vt="http://schemas.openxmlformats.org/officeDocument/2006/docPropsVTypes">
  <Template>Normal</Template>
  <TotalTime>1</TotalTime>
  <Pages>150</Pages>
  <Words>47336</Words>
  <Characters>269816</Characters>
  <Application>Microsoft Office Word</Application>
  <DocSecurity>0</DocSecurity>
  <Lines>2248</Lines>
  <Paragraphs>633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2025-03-31T03:49:00Z</dcterms:created>
  <dcterms:modified xsi:type="dcterms:W3CDTF">2025-03-31T03:50:00Z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